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Message Bank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Client Name: </w:t>
      </w:r>
    </w:p>
    <w:p w:rsidR="00000000" w:rsidDel="00000000" w:rsidP="00000000" w:rsidRDefault="00000000" w:rsidRPr="00000000" w14:paraId="00000004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Date: </w:t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Why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Raleway" w:cs="Raleway" w:eastAsia="Raleway" w:hAnsi="Raleway"/>
          <w:b w:val="1"/>
          <w:u w:val="none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Vision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Raleway" w:cs="Raleway" w:eastAsia="Raleway" w:hAnsi="Raleway"/>
          <w:b w:val="1"/>
          <w:u w:val="none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Mission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Raleway" w:cs="Raleway" w:eastAsia="Raleway" w:hAnsi="Raleway"/>
          <w:b w:val="1"/>
          <w:u w:val="none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Values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Raleway" w:cs="Raleway" w:eastAsia="Raleway" w:hAnsi="Raleway"/>
          <w:b w:val="1"/>
          <w:u w:val="none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Brand Story: Highlight the Hero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Raleway" w:cs="Raleway" w:eastAsia="Raleway" w:hAnsi="Raleway"/>
          <w:b w:val="1"/>
          <w:u w:val="none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Brand Story: Personify Villain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Raleway" w:cs="Raleway" w:eastAsia="Raleway" w:hAnsi="Raleway"/>
          <w:b w:val="1"/>
          <w:u w:val="none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Call-to-Action /w Offer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Call-to-Action /w Offer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Call-to-Action /w Offer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Call-to-Action /w Offer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Call-to-Action /w Offer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Call-to-Action /w Offer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Call-to-Action /w Offer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Raleway" w:cs="Raleway" w:eastAsia="Raleway" w:hAnsi="Raleway"/>
          <w:b w:val="1"/>
          <w:u w:val="none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 Story about working with children with cerebral palsey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rFonts w:ascii="Raleway" w:cs="Raleway" w:eastAsia="Raleway" w:hAnsi="Raleway"/>
          <w:b w:val="1"/>
          <w:u w:val="none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Therapy might be 1-on-1 but that doesn’t mean the whole family isn’t involved…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Raleway" w:cs="Raleway" w:eastAsia="Raleway" w:hAnsi="Raleway"/>
          <w:b w:val="1"/>
          <w:u w:val="no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9525</wp:posOffset>
          </wp:positionV>
          <wp:extent cx="7772400" cy="2095500"/>
          <wp:effectExtent b="0" l="0" r="0" t="0"/>
          <wp:wrapSquare wrapText="bothSides" distB="114300" distT="114300" distL="114300" distR="11430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20955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PpHL37WxB3iEbRuDaOiV1/nj/w==">AMUW2mUSK/Vt2k566wM7TfCzuiBeCTCyQJGHdzBGmCIIzdi14AiIuKzTNr9qb+3Gel2d76xFZPULIdHwGk6Kh/NfYX8izyypwLD1OHulRybOYT+DZQvdOuk1VPZ2ohaZqF2rUYKYlS+c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